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Ideally, the programming language best suited for the task at hand will be selected.</w:t>
        <w:br/>
        <w:t>Some languages are more prone to some kinds of faults because their specification does not require compilers to perform as much checking as other languages.</w:t>
        <w:br/>
        <w:t>For this purpose, algorithms are classified into orders using so-called Big O notation, which expresses resource use, such as execution time or memory consumption, in terms of the size of an input.</w:t>
        <w:br/>
        <w:t>By the late 1960s, data storage devices and computer terminals became inexpensive enough that programs could be created by typing directly into the computers.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He gave the first description of cryptanalysis by frequency analysis, the earliest code-breaking algorithm.</w:t>
        <w:br/>
        <w:t>Normally the first step in debugging is to attempt to reproduce the problem.</w:t>
        <w:br/>
        <w:t>Provided the functions in a library follow the appropriate run-time conventions (e.g., method of passing arguments), then these functions may be written in any other language.</w:t>
        <w:br/>
        <w:t>The choice of language used is subject to many considerations, such as company policy, suitability to task, availability of third-party packages, or individual preference.</w:t>
        <w:br/>
        <w:t>This can be a non-trivial task, for example as with parallel processes or some unusual software bugs.</w:t>
        <w:br/>
        <w:t>In 1206, the Arab engineer Al-Jazari invented a programmable drum machine where a musical mechanical automaton could be made to play different rhythms and drum patterns, via pegs and cams.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Popular modeling techniques include Object-Oriented Analysis and Design (OOAD) and Model-Driven Architecture (MDA).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