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It affects the aspects of quality above, including portability, usability and most importantly maintainability.</w:t>
        <w:br/>
        <w:t>Many programmers use forms of Agile software development where the various stages of formal software development are more integrated together into short cycles that take a few weeks rather than years.</w:t>
        <w:b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Transpiling on the other hand, takes the source-code from a high-level programming language and converts it into bytecode.</w:t>
        <w:br/>
        <w:t>Ideally, the programming language best suited for the task at hand will be selected.</w:t>
        <w:br/>
        <w:t>The Unified Modeling Language (UML) is a notation used for both the OOAD and MDA.</w:t>
        <w:br/>
        <w:t>By the late 1960s, data storage devices and computer terminals became inexpensive enough that programs could be created by typing directly into the computers.</w:t>
        <w:br/>
        <w:t>Transpiling on the other hand, takes the source-code from a high-level programming language and converts it into bytecode.</w:t>
        <w:br/>
        <w:t>Use of a static code analysis tool can help detect some possible problems.</w:t>
        <w:br/>
        <w:t>Some text editors such as Emacs allow GDB to be invoked through them, to provide a visual environment.</w:t>
        <w:br/>
        <w:t>It is usually easier to code in "high-level" languages than in "low-level" ones.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