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Normally the first step in debugging is to attempt to reproduce the problem.</w:t>
        <w:br/>
        <w:t>The Unified Modeling Language (UML) is a notation used for both the OOAD and MDA.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>Techniques like Code refactoring can enhance readability.</w:t>
        <w:br/>
        <w:t xml:space="preserve"> Programs were mostly entered using punched cards or paper tape.</w:t>
        <w:br/>
        <w:t>In 1801, the Jacquard loom could produce entirely different weaves by changing the "program" – a series of pasteboard cards with holes punched in them.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 xml:space="preserve"> High-level languages made the process of developing a program simpler and more understandable, and less bound to the underlying hardware.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