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Trade-offs from this ideal involve finding enough programmers who know the language to build a team, the availability of compilers for that language, and the efficiency with which programs written in a given language execute.</w:t>
        <w:br/>
        <w:t>To produce machine code, the source code must either be compiled or transpiled.</w:t>
        <w:br/>
        <w:t>Also, specific user environment and usage history can make it difficult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By the late 1960s, data storage devices and computer terminals became inexpensive enough that programs could be created by typing directly into the computers.</w:t>
        <w:br/>
        <w:t>Normally the first step in debugging is to attempt to reproduce the problem.</w:t>
        <w:br/>
        <w:t>Normally the first step in debugging is to attempt to reproduce the problem.</w:t>
        <w:br/>
        <w:t>FORTRAN, the first widely used high-level language to have a functional implementation, came out in 1957, and many other languages were soon developed—in particular, COBOL aimed at commercial data processing, and Lisp for computer research.</w:t>
        <w:br/>
        <w:t xml:space="preserve"> Following a consistent programming style often helps readability.</w:t>
        <w:br/>
        <w:t>However, readability is more than just programming style.</w:t>
        <w:br/>
        <w:br/>
        <w:t xml:space="preserve"> The academic field and the engineering practice of computer programming are both largely concerned with discovering and implementing the most efficient algorithms for a given class of problems.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