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text editors such as Emacs allow GDB to be invoked through them, to provide a visual environment.</w:t>
        <w:br/>
        <w:t>However, with the concept of the stored-program computer introduced in 1949, both programs and data were stored and manipulated in the same way in computer memory.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Trial-and-error/divide-and-conquer is needed: the programmer will try to remove some parts of the original test case and check if the problem still exists.</w:t>
        <w:br/>
        <w:t>Many programmers use forms of Agile software development where the various stages of formal software development are more integrated together into short cycles that take a few weeks rather than years.</w:t>
        <w:br/>
        <w:t>It affects the aspects of quality above, including portability, usability and most importantly maintainability.</w:t>
        <w:br/>
        <w:t>Ideally, the programming language best suited for the task at hand will be selected.</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By the late 1960s, data storage devices and computer terminals became inexpensive enough that programs could be created by typing directly into the computers.</w:t>
        <w:br/>
        <w:t xml:space="preserve"> Computer programmers are those who write computer software.</w:t>
        <w:br/>
        <w:t xml:space="preserve"> Different programming languages support different styles of programming (called programming paradigms).</w:t>
        <w:br/>
        <w:t>Programming languages are essential for software development.</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