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Some text editors such as Emacs allow GDB to be invoked through them, to provide a visual environment.</w:t>
        <w:br/>
        <w:t>For this purpose, algorithms are classified into orders using so-called Big O notation, which expresses resource use, such as execution time or memory consumption, in terms of the size of an input.</w:t>
        <w:br/>
        <w:t>However, readability is more than just programming style.</w:t>
        <w:br/>
        <w:t>For this purpose, algorithms are classified into orders using so-called Big O notation, which expresses resource use, such as execution time or memory consumption, in terms of the size of an input.</w:t>
        <w:br/>
        <w:t>A study found that a few simple readability transformations made code shorter and drastically reduced the time to understand it.</w:t>
        <w:br/>
        <w:t>A study found that a few simple readability transformations made code shorter and drastically reduced the time to understand it.</w:t>
        <w:br/>
        <w:t>Many factors, having little or nothing to do with the ability of the computer to efficiently compile and execute the code, contribute to readability.</w:t>
        <w:br/>
        <w:t>By the late 1960s, data storage devices and computer terminals became inexpensive enough that programs could be created by typing directly into the computers.</w:t>
        <w:br/>
        <w:t>Techniques like Code refactoring can enhance readability.</w:t>
        <w:br/>
        <w:t>However, readability is more than just programming style.</w:t>
        <w:br/>
        <w:t>Also, those involved with software development may at times engage in reverse engineering, which is the practice of seeking to understand an existing program so as to re-implement its function in some way.</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