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Languages form an approximate spectrum from "low-level" to "high-level"; "low-level" languages are typically more machine-oriented and faster to execute, whereas "high-level" languages are more abstract and easier to use but execute less quickly.</w:t>
        <w:br/>
        <w:t>Many factors, having little or nothing to do with the ability of the computer to efficiently compile and execute the code, contribute to readability.</w:t>
        <w:br/>
        <w:t>However, with the concept of the stored-program computer introduced in 1949, both programs and data were stored and manipulated in the same way in computer memory.</w:t>
        <w:br/>
        <w:t>It affects the aspects of quality above, including portability, usability and most importantly maintainability.</w:t>
        <w:br/>
        <w:t>As early as the 9th century, a programmable music sequencer was invented by the Persian Banu Musa brothers, who described an automated mechanical flute player in the Book of Ingenious Devices.</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It affects the aspects of quality above, including portability, usability and most importantly maintainability.</w:t>
        <w:br/>
        <w:t>Integrated development environments (IDEs) aim to integrate all such help.</w:t>
        <w:br/>
        <w:t>For example, when a bug in a compiler can make it crash when parsing some large source file, a simplification of the test case that results in only few lines from the original source file can be sufficient to reproduce the same crash.</w:t>
        <w:br/>
        <w:t>Text editors were also developed that allowed changes and corrections to be made much more easily than with punched cards.</w:t>
        <w:br/>
        <w:t>Trial-and-error/divide-and-conquer is needed: the programmer will try to remove some parts of the original test case and check if the problem still exists.</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