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However, readability is more than just programming style.</w:t>
        <w:br/>
        <w:t>Ideally, the programming language best suited for the task at hand will be selected.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It affects the aspects of quality above, including portability, usability and most importantly maintainability.</w:t>
        <w:br/>
        <w:t>For this purpose, algorithms are classified into orders using so-called Big O notation, which expresses resource use, such as execution time or memory consumption, in terms of the size of an input.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To produce machine code, the source code must either be compiled or transpiled.</w:t>
        <w:br/>
        <w:t>A study found that a few simple readability transformations made code shorter and drastically reduced the time to understand it.</w:t>
        <w:br/>
        <w:t>Assembly languages were soon developed that let the programmer specify instruction in a text format (e.g., ADD X, TOTAL), with abbreviations for each operation code and meaningful names for specifying addresses.</w:t>
        <w:br/>
        <w:t xml:space="preserve"> Programmable devices have existed for centuries.</w:t>
        <w:br/>
        <w:t>The choice of language used is subject to many considerations, such as company policy, suitability to task, availability of third-party packages, or individual preference.</w:t>
        <w:br/>
        <w:t>Ideally, the programming language best suited for the task at hand will be selected.</w:t>
        <w:br/>
        <w:t>Expert programmers are familiar with a variety of well-established algorithms and their respective complexities and use this knowledge to choose algorithms that are best suited to the circumstances.</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