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Some of these factors include:</w:t>
        <w:br/>
        <w:t xml:space="preserve"> The presentation aspects of this (such as indents, line breaks, color highlighting, and so on) are often handled by the source code editor, but the content aspects reflect the programmer's talent and skills.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Scripting and breakpointing is also part of this process.</w:t>
        <w:br/>
        <w:t>Compilers harnessed the power of computers to make programming easier by allowing programmers to specify calculations by entering a formula using infix notation.</w:t>
        <w:br/>
        <w:t>There exist a lot of different approaches for each of those tasks.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However, with the concept of the stored-program computer introduced in 1949, both programs and data were stored and manipulated in the same way in computer memory.</w:t>
        <w:br/>
        <w:t>In the 9th century, the Arab mathematician Al-Kindi described a cryptographic algorithm for deciphering encrypted code, in A Manuscript on Deciphering Cryptographic Messages.</w:t>
        <w:br/>
        <w:t>A study found that a few simple readability transformations made code shorter and drastically reduced the time to understand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