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As early as the 9th century, a programmable music sequencer was invented by the Persian Banu Musa brothers, who described an automated mechanical flute player in the Book of Ingenious Devices.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exist a lot of different approaches for each of those tasks.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Integrated development environments (IDEs) aim to integrate all such help.</w:t>
        <w:br/>
        <w:t>Techniques like Code refactoring can enhance readability.</w:t>
        <w:br/>
        <w:t>One approach popular for requirements analysis is Use Case analysis.</w:t>
        <w:br/>
        <w:t>For this purpose, algorithms are classified into orders using so-called Big O notation, which expresses resource use, such as execution time or memory consumption, in terms of the size of an input.</w:t>
        <w:br/>
        <w:t>When debugging the problem in a GUI, the programmer can try to skip some user interaction from the original problem description and check if remaining actions are sufficient for bugs to appear.</w:t>
        <w:br/>
        <w:t>For this purpose, algorithms are classified into orders using so-called Big O notation, which expresses resource use, such as execution time or memory consumption, in terms of the size of an input.</w:t>
        <w:br/>
        <w:t>The Unified Modeling Language (UML) is a notation used for both the OOAD and MDA.</w:t>
        <w:br/>
        <w:t xml:space="preserve"> Various visual programming languages have also been developed with the intent to resolve readability concerns by adopting non-traditional approaches to code structure and display.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