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 xml:space="preserve"> Whatever the approach to development may be, the final program must satisfy some fundamental properties.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because an assembly language is little more than a different notation for a machine language,  two machines with different instruction sets also have different assembly languages.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