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Also, specific user environment and usage history can make it difficult to reproduce the problem.</w:t>
        <w:br/>
        <w:t>Techniques like Code refactoring can enhance readability.</w:t>
        <w:br/>
        <w:t>However, readability is more than just programming style.</w:t>
        <w:br/>
        <w:t>They are the building blocks for all software, from the simplest applications to the most sophisticated ones.</w:t>
        <w:br/>
        <w:t>Relatedly, software engineering combines engineering techniques and principles with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Unified Modeling Language (UML) is a notation used for both the OOAD and MDA.</w:t>
        <w:br/>
        <w:t>The source code of a program is written in one or more languages that are intelligible to programmers, rather than machine code, which is directly executed by the central processing unit.</w:t>
        <w:br/>
        <w:t>In the 9th century, the Arab mathematician Al-Kindi described a cryptographic algorithm for deciphering encrypted code, in A Manuscript on Deciphering Cryptographic Messages.</w:t>
        <w:br/>
        <w:t xml:space="preserve"> Various visual programming languages have also been developed with the intent to resolve readability concerns by adopting non-traditional approaches to code structure and display.</w:t>
        <w:br/>
        <w:t xml:space="preserve"> Popular modeling techniques include Object-Oriented Analysis and Design (OOAD) and Model-Driven Architecture (MDA).</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Different programming languages support different styles of programming (called programming paradigms).</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