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By the late 1960s, data storage devices and computer terminals became inexpensive enough that programs could be created by typing directly into the computers.</w:t>
        <w:br/>
        <w:t>Programming languages are essential for software development.</w:t>
        <w:br/>
        <w:t>Some text editors such as Emacs allow GDB to be invoked through them, to provide a visual environment.</w:t>
        <w:br/>
        <w:t>Text editors were also developed that allowed changes and corrections to be made much more easily than with punched cards.</w:t>
        <w:br/>
        <w:t>The Unified Modeling Language (UML) is a notation used for both the OOAD and MDA.</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Trial-and-error/divide-and-conquer is needed: the programmer will try to remove some parts of the original test case and check if the problem still exists.</w:t>
        <w:br/>
        <w:t>Some text editors such as Emacs allow GDB to be invoked through them, to provide a visual environment.</w:t>
        <w:br/>
        <w:t>The following properties are among the most important:</w:t>
        <w:br/>
        <w:br/>
        <w:t xml:space="preserve"> In computer programming, readability refers to the ease with which a human reader can comprehend the purpose, control flow, and operation of source code.</w:t>
        <w:br/>
        <w:t>In 1206, the Arab engineer Al-Jazari invented a programmable drum machine where a musical mechanical automaton could be made to play different rhythms and drum patterns, via pegs and cams.</w:t>
        <w:br/>
        <w:t>It is usually easier to code in "high-level" languages than in "low-level" ones.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