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The choice of language used is subject to many considerations, such as company policy, suitability to task, availability of third-party packages, or individual preference.</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The choice of language used is subject to many considerations, such as company policy, suitability to task, availability of third-party packages, or individual preference.</w:t>
        <w:br/>
        <w:t>When debugging the problem in a GUI, the programmer can try to skip some user interaction from the original problem description and check if remaining actions are sufficient for bugs to appear.</w:t>
        <w:br/>
        <w:t>It affects the aspects of quality above, including portability, usability and most importantly maintainability.</w:t>
        <w:br/>
        <w:t>A study found that a few simple readability transformations made code shorter and drastically reduced the time to understand it.</w:t>
        <w:br/>
        <w:t>Trial-and-error/divide-and-conquer is needed: the programmer will try to remove some parts of the original test case and check if the problem still exists.</w:t>
        <w:br/>
        <w:t xml:space="preserve"> Various visual programming languages have also been developed with the intent to resolve readability concerns by adopting non-traditional approaches to code structure and display.</w:t>
        <w:br/>
        <w:t>Normally the first step in debugging is to attempt to reproduce the problem.</w:t>
        <w:br/>
        <w:t>In 1801, the Jacquard loom could produce entirely different weaves by changing the "program" – a series of pasteboard cards with holes punched in them.</w:t>
        <w:br/>
        <w:t>It affects the aspects of quality above, including portability, usability and most importantly maintainability.</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