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This is interpreted into machine code.</w:t>
        <w:br/>
        <w:t>Text editors were also developed that allowed changes and corrections to be made much more easily than with punched cards.</w:t>
        <w:br/>
        <w:t>The Unified Modeling Language (UML) is a notation used for both the OOAD and MDA.</w:t>
        <w:br/>
        <w:t>In 1206, the Arab engineer Al-Jazari invented a programmable drum machine where a musical mechanical automaton could be made to play different rhythms and drum patterns, via pegs and cams.</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A study found that a few simple readability transformations made code shorter and drastically reduced the time to understand it.</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Many factors, having little or nothing to do with the ability of the computer to efficiently compile and execute the code, contribute to readability.</w:t>
        <w:br/>
        <w:t xml:space="preserve"> The academic field and the engineering practice of computer programming are both largely concerned with discovering and implementing the most efficient algorithms for a given class of problems.</w:t>
        <w:b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