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Also, specific user environment and usage history can make it difficult to reproduce the problem.</w:t>
        <w:br/>
        <w:t>Integrated development environments (IDEs) aim to integrate all such help.</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Expert programmers are familiar with a variety of well-established algorithms and their respective complexities and use this knowledge to choose algorithms that are best suited to the circumstances.</w:t>
        <w:br/>
        <w:t>Some text editors such as Emacs allow GDB to be invoked through them, to provide a visual environment.</w:t>
        <w:br/>
        <w:t>Use of a static code analysis tool can help detect some possible problems.</w:t>
        <w:br/>
        <w:t>By the late 1960s, data storage devices and computer terminals became inexpensive enough that programs could be created by typing directly into the computers.</w:t>
        <w:br/>
        <w:t>Compiling takes the source code from a low-level programming language and converts it into machine code.</w:t>
        <w:br/>
        <w:t>Scripting and breakpointing is also part of this process.</w:t>
        <w:br/>
        <w:t>Normally the first step in debugging is to attempt to reproduce the problem.</w:t>
        <w:br/>
        <w:t xml:space="preserve"> The first computer program is generally dated to 1843, when mathematician Ada Lovelace published an algorithm to calculate a sequence of Bernoulli numbers, intended to be carried out by Charles Babbage's Analytical Engine.</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