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When debugging the problem in a GUI, the programmer can try to skip some user interaction from the original problem description and check if remaining actions are sufficient for bugs to appear.</w:t>
        <w:br/>
        <w:t>However, Charles Babbage had already written his first program for the Analytical Engine in 1837.</w:t>
        <w:br/>
        <w:t>Compilers harnessed the power of computers to make programming easier by allowing programmers to specify calculations by entering a formula using infix notation.</w:t>
        <w:br/>
        <w:t>Normally the first step in debugging is to attempt to reproduce the problem.</w:t>
        <w:br/>
        <w:t>Many programmers use forms of Agile software development where the various stages of formal software development are more integrated together into short cycles that take a few weeks rather than years.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 example, COBOL is still strong in corporate data centers often on large mainframe computers, Fortran in engineering applications, scripting languages in Web development, and C in embedded software.</w:t>
        <w:br/>
        <w:t>As early as the 9th century, a programmable music sequencer was invented by the Persian Banu Musa brothers, who described an automated mechanical flute player in the Book of Ingenious Devices.</w:t>
        <w:br/>
        <w:t>The following properties are among the most important:</w:t>
        <w:br/>
        <w:br/>
        <w:t xml:space="preserve"> In computer programming, readability refers to the ease with which a human reader can comprehend the purpose, control flow, and operation of source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br/>
        <w:t>In 1206, the Arab engineer Al-Jazari invented a programmable drum machine where a musical mechanical automaton could be made to play different rhythms and drum patterns, via pegs and cams.</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