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Scripting and breakpointing is also part of this process.</w:t>
        <w:br/>
        <w:t>The source code of a program is written in one or more languages that are intelligible to programmers, rather than machine code, which is directly executed by the central processing unit.</w:t>
        <w:br/>
        <w:t>A study found that a few simple readability transformations made code shorter and drastically reduced the time to understand 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Techniques like Code refactoring can enhance readability.</w:t>
        <w:br/>
        <w:t>The choice of language used is subject to many considerations, such as company policy, suitability to task, availability of third-party packages, or individual preference.</w:t>
        <w:br/>
        <w:t>However, because an assembly language is little more than a different notation for a machine language,  two machines with different instruction sets also have different assembly languages.</w:t>
        <w:br/>
        <w:t>Normally the first step in debugging is to attempt to reproduce the problem.</w:t>
        <w:br/>
        <w:t xml:space="preserve"> After the bug is reproduced, the input of the program may need to be simplified to make it easier to debug.</w:t>
        <w:br/>
        <w:t>This can be a non-trivial task, for example as with parallel processes or some unusual software bugs.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