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Ideally, the programming language best suited for the task at hand will be selected.</w:t>
        <w:br/>
        <w:t>Proficient programming thus usually requires expertise in several different subjects, including knowledge of the application domain, specialized algorithms, and formal logic.</w:t>
        <w:br/>
        <w:t>In 1801, the Jacquard loom could produce entirely different weaves by changing the "program" – a series of pasteboard cards with holes punched in them.</w:t>
        <w:br/>
        <w:t>Unreadable code often leads to bugs, inefficiencies, and duplicated code.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with the concept of the stored-program computer introduced in 1949, both programs and data were stored and manipulated in the same way in computer memory.</w:t>
        <w:br/>
        <w:t>It affects the aspects of quality above, including portability, usability and most importantly maintainability.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 the 9th century, the Arab mathematician Al-Kindi described a cryptographic algorithm for deciphering encrypted code, in A Manuscript on Deciphering Cryptographic Messages.</w:t>
        <w:br/>
        <w:t>As early as the 9th century, a programmable music sequencer was invented by the Persian Banu Musa brothers, who described an automated mechanical flute player in the Book of Ingenious Devices.</w:t>
        <w:br/>
        <w:t>Many factors, having little or nothing to do with the ability of the computer to efficiently compile and execute the code, contribute to readability.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