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Proficient programming thus usually requires expertise in several different subjects, including knowledge of the application domain, specialized algorithms, and formal logic.</w:t>
        <w:br/>
        <w:t>Some text editors such as Emacs allow GDB to be invoked through them, to provide a visual environment.</w:t>
        <w:br/>
        <w:t>There are many approaches to the Software development process.</w:t>
        <w:br/>
        <w:t>Compiling takes the source code from a low-level programming language and converts it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choice of language used is subject to many considerations, such as company policy, suitability to task, availability of third-party packages, or individual preference.</w:t>
        <w:br/>
        <w:t>One approach popular for requirements analysis is Use Case analysis.</w:t>
        <w:br/>
        <w:t>As early as the 9th century, a programmable music sequencer was invented by the Persian Banu Musa brothers, who described an automated mechanical flute player in the Book of Ingenious Devices.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He gave the first description of cryptanalysis by frequency analysis, the earliest code-breaking algorithm.</w:t>
        <w:br/>
        <w:t>Normally the first step in debugging is to attempt to reproduce the problem.</w:t>
        <w:br/>
        <w:t>However, Charles Babbage had already written his first program for the Analytical Engine in 1837.</w:t>
        <w:br/>
        <w:t xml:space="preserve"> Machine code was the language of early programs, written in the instruction set of the particular machine, often in binary notation.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