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Assembly languages were soon developed that let the programmer specify instruction in a text format (e.g., ADD X, TOTAL), with abbreviations for each operation code and meaningful names for specifying addresses.</w:t>
        <w:br/>
        <w:t>Some languages are more prone to some kinds of faults because their specification does not require compilers to perform as much checking as other languages.</w:t>
        <w:br/>
        <w:t>For example, when a bug in a compiler can make it crash when parsing some large source file, a simplification of the test case that results in only few lines from the original source file can be sufficient to reproduce the same crash.</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However, Charles Babbage had already written his first program for the Analytical Engine in 1837.</w:t>
        <w:br/>
        <w:t>Scripting and breakpointing is also part of this process.</w:t>
        <w:br/>
        <w:t>For this purpose, algorithms are classified into orders using so-called Big O notation, which expresses resource use, such as execution time or memory consumption, in terms of the size of an input.</w:t>
        <w:br/>
        <w:t xml:space="preserve"> Programmable devices have existed for centuries.</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