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Many factors, having little or nothing to do with the ability of the computer to efficiently compile and execute the code, contribute to readability.</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