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In 1801, the Jacquard loom could produce entirely different weaves by changing the "program" – a series of pasteboard cards with holes punched in them.</w:t>
        <w:br/>
        <w:t>One approach popular for requirements analysis is Use Case analysis.</w:t>
        <w:br/>
        <w:t>It affects the aspects of quality above, including portability, usability and most importantly maintainability.</w:t>
        <w:br/>
        <w:t>Expert programmers are familiar with a variety of well-established algorithms and their respective complexities and use this knowledge to choose algorithms that are best suited to the circumstances.</w:t>
        <w:br/>
        <w:t>Transpiling on the other hand, takes the source-code from a high-level programming language and converts it into bytecode.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choice of language used is subject to many considerations, such as company policy, suitability to task, availability of third-party packages, or individual preference.</w:t>
        <w:br/>
        <w:t>Transpiling on the other hand, takes the source-code from a high-level programming language and converts it into bytecode.</w:t>
        <w:br/>
        <w:t>Ideally, the programming language best suited for the task at hand will be selected.</w:t>
        <w:br/>
        <w:t>Programming involves tasks such as analysis, generating algorithms, profiling algorithms' accuracy and resource consumption, and the implementation of algorithms (usually in a particular programming language, commonly referred to as coding).</w:t>
        <w:br/>
        <w:t xml:space="preserve"> Computer programmers are those who write computer software.</w:t>
        <w:br/>
        <w:br/>
        <w:t>The first compiler related tool, the A-0 System, was developed in 1952 by Grace Hopper, who also coined the term 'compiler'.</w:t>
        <w:br/>
        <w:t xml:space="preserve"> Programs were mostly entered using punched cards or paper tape.</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