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Some text editors such as Emacs allow GDB to be invoked through them, to provide a visual environment.</w:t>
        <w:br/>
        <w:t>In 1206, the Arab engineer Al-Jazari invented a programmable drum machine where a musical mechanical automaton could be made to play different rhythms and drum patterns, via pegs and cams.</w:t>
        <w:br/>
        <w:t>Some text editors such as Emacs allow GDB to be invoked through them, to provide a visual environment.</w:t>
        <w:br/>
        <w:t>It is usually easier to code in "high-level" languages than in "low-level" ones.</w:t>
        <w:br/>
        <w:t>In 1801, the Jacquard loom could produce entirely different weaves by changing the "program" – a series of pasteboard cards with holes punched in them.</w:t>
        <w:br/>
        <w:t>In 1206, the Arab engineer Al-Jazari invented a programmable drum machine where a musical mechanical automaton could be made to play different rhythms and drum patterns, via pegs and cams.</w:t>
        <w:br/>
        <w:t>Integrated development environments (IDEs) aim to integrate all such help.</w:t>
        <w:br/>
        <w:t>However, with the concept of the stored-program computer introduced in 1949, both programs and data were stored and manipulated in the same way in computer memory.</w:t>
        <w:br/>
        <w:t xml:space="preserve"> Code-breaking algorithms have also existed for centuries.</w:t>
        <w:br/>
        <w:t xml:space="preserve"> Different programming languages support different styles of programming (called programming paradigms).</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