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To produce machine code, the source code must either be compiled or transpiled.</w:t>
        <w:br/>
        <w:t>Compiling takes the source code from a low-level programming language and converts it into machine code.</w:t>
        <w:br/>
        <w:t>In the 9th century, the Arab mathematician Al-Kindi described a cryptographic algorithm for deciphering encrypted code, in A Manuscript on Deciphering Cryptographic Messages.</w:t>
        <w:br/>
        <w:t>Techniques like Code refactoring can enhance readability.</w:t>
        <w:br/>
        <w:t>However, readability is more than just programming style.</w:t>
        <w:br/>
        <w:t>When debugging the problem in a GUI, the programmer can try to skip some user interaction from the original problem description and check if remaining actions are sufficient for bugs to appear.</w:t>
        <w:br/>
        <w:t>Text editors were also developed that allowed changes and corrections to be made much more easily than with punched cards.</w:t>
        <w:br/>
        <w:t>Scripting and breakpointing is also part of this process.</w:t>
        <w:br/>
        <w:t>Expert programmers are familiar with a variety of well-established algorithms and their respective complexities and use this knowledge to choose algorithms that are best suited to the circumstances.</w:t>
        <w:br/>
        <w:t>Programming languages are essential for software development.</w:t>
        <w:br/>
        <w:t>It affects the aspects of quality above, including portability, usability and most importantly maintainability.</w:t>
        <w:br/>
        <w:br/>
        <w:t>Relatedly, software engineering combines engineering techniques and principles with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