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To produce machine code, the source code must either be compiled or transpiled.</w:t>
        <w:br/>
        <w:t>This can be a non-trivial task, for example as with parallel processes or some unusual software bugs.</w:t>
        <w:br/>
        <w:t>However, Charles Babbage had already written his first program for the Analytical Engine in 1837.</w:t>
        <w:br/>
        <w:t>He gave the first description of cryptanalysis by frequency analysis, the earliest code-breaking algorithm.</w:t>
        <w:br/>
        <w:t>There exist a lot of different approaches for each of those tasks.</w:t>
        <w:br/>
        <w:t>It affects the aspects of quality above, including portability, usability and most importantly maintainability.</w:t>
        <w:br/>
        <w:t>He gave the first description of cryptanalysis by frequency analysis, the earliest code-breaking algorithm.</w:t>
        <w:br/>
        <w:t>Proficient programming thus usually requires expertise in several different subjects, including knowledge of the application domain, specialized algorithms, and formal logic.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Trial-and-error/divide-and-conquer is needed: the programmer will try to remove some parts of the original test case and check if the problem still exists.</w:t>
        <w:br/>
        <w:t>The choice of language used is subject to many considerations, such as company policy, suitability to task, availability of third-party packages, or individual preference.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The choice of language used is subject to many considerations, such as company policy, suitability to task, availability of third-party packages, or individual preference.</w:t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