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A study found that a few simple readability transformations made code shorter and drastically reduced the time to understand it.</w:t>
        <w:br/>
        <w:t>In the 9th century, the Arab mathematician Al-Kindi described a cryptographic algorithm for deciphering encrypted code, in A Manuscript on Deciphering Cryptographic Messages.</w:t>
        <w:br/>
        <w:t>A study found that a few simple readability transformations made code shorter and drastically reduced the time to understand it.</w:t>
        <w:br/>
        <w:t>A study found that a few simple readability transformations made code shorter and drastically reduced the time to understand it.</w:t>
        <w:br/>
        <w:t>However, readability is more than just programming style.</w:t>
        <w:br/>
        <w:t>However, Charles Babbage had already written his first program for the Analytical Engine in 1837.</w:t>
        <w:br/>
        <w:t xml:space="preserve"> Whatever the approach to development may be, the final program must satisfy some fundamental properties.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