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because an assembly language is little more than a different notation for a machine language,  two machines with different instruction sets also have different assembly languages.</w:t>
        <w:br/>
        <w:t>The Unified Modeling Language (UML) is a notation used for both the OOAD and MDA.</w:t>
        <w:br/>
        <w:t>Programming languages are essential for software development.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When debugging the problem in a GUI, the programmer can try to skip some user interaction from the original problem description and check if remaining actions are sufficient for bugs to appear.</w:t>
        <w:br/>
        <w:t>In the 9th century, the Arab mathematician Al-Kindi described a cryptographic algorithm for deciphering encrypted code, in A Manuscript on Deciphering Cryptographic Messages.</w:t>
        <w:br/>
        <w:t>Trial-and-error/divide-and-conquer is needed: the programmer will try to remove some parts of the original test case and check if the problem still exists.</w:t>
        <w:br/>
        <w:t>It affects the aspects of quality above, including portability, usability and most importantly maintainability.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Charles Babbage had already written his first program for the Analytical Engine in 1837.</w:t>
        <w:br/>
        <w:t>This is interpreted into machine code.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