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There exist a lot of different approaches for each of those tasks.</w:t>
        <w:br/>
        <w:t>Many factors, having little or nothing to do with the ability of the computer to efficiently compile and execute the code, contribute to readability.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Unified Modeling Language (UML) is a notation used for both the OOAD and MDA.</w:t>
        <w:br/>
        <w:t>For this purpose, algorithms are classified into orders using so-called Big O notation, which expresses resource use, such as execution time or memory consumption, in terms of the size of an input.</w:t>
        <w:br/>
        <w:t>In the 9th century, the Arab mathematician Al-Kindi described a cryptographic algorithm for deciphering encrypted code, in A Manuscript on Deciphering Cryptographic Messages.</w:t>
        <w:br/>
        <w:t>Proficient programming thus usually requires expertise in several different subjects, including knowledge of the application domain, specialized algorithms, and formal logic.</w:t>
        <w:br/>
        <w:t>Techniques like Code refactoring can enhance readability.</w:t>
        <w:br/>
        <w:t>Proficient programming thus usually requires expertise in several different subjects, including knowledge of the application domain, specialized algorithms, and formal logic.</w:t>
        <w:br/>
        <w:t>Proficient programming thus usually requires expertise in several different subjects, including knowledge of the application domain, specialized algorithms, and formal logic.</w:t>
        <w:br/>
        <w:t xml:space="preserve"> Code-breaking algorithms have also existed for centuries.</w:t>
        <w:br/>
        <w:t>It affects the aspects of quality above, including portability, usability and most importantly maintainability.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