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Scripting and breakpointing is also part of this process.</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Machine code was the language of early programs, written in the instruction set of the particular machine, often in binary notation.</w:t>
        <w:br/>
        <w:t xml:space="preserve"> Code-breaking algorithms have also existed for centuries.</w:t>
        <w:br/>
        <w:t xml:space="preserve"> Popular modeling techniques include Object-Oriented Analysis and Design (OOAD) and Model-Driven Architecture (MDA).</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