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Techniques like Code refactoring can enhance readability.</w:t>
        <w:br/>
        <w:t>Many applications use a mix of several languages in their construction and use.</w:t>
        <w:br/>
        <w:t>However, with the concept of the stored-program computer introduced in 1949, both programs and data were stored and manipulated in the same way in computer memory.</w:t>
        <w:br/>
        <w:t>Transpiling on the other hand, takes the source-code from a high-level programming language and converts it into bytecode.</w:t>
        <w:br/>
        <w:t>It is usually easier to code in "high-level" languages than in "low-level"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This can be a non-trivial task, for example as with parallel processes or some unusual software bugs.</w:t>
        <w:br/>
        <w:t>Normally the first step in debugging is to attempt to reproduce the problem.</w:t>
        <w:br/>
        <w:t>Scripting and breakpointing is also part of this process.</w:t>
        <w:br/>
        <w:t>There are many approaches to the Software development process.</w:t>
        <w:br/>
        <w:t>However, because an assembly language is little more than a different notation for a machine language,  two machines with different instruction sets also have different assembly languages.</w:t>
        <w:br/>
        <w:t>Use of a static code analysis tool can help detect some possible problems.</w:t>
        <w:br/>
        <w:t>Provided the functions in a library follow the appropriate run-time conventions (e.g., method of passing arguments), then these functions may be written in any other language.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