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By the late 1960s, data storage devices and computer terminals became inexpensive enough that programs could be created by typing directly into the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Relatedly, software engineering combines engineering techniques and principles with software development.</w:t>
        <w:br/>
        <w:t>Some languages are more prone to some kinds of faults because their specification does not require compilers to perform as much checking as other languages.</w:t>
        <w:br/>
        <w:t>Some languages are more prone to some kinds of faults because their specification does not require compilers to perform as much checking as other languages.</w:t>
        <w:br/>
        <w:t>Assembly languages were soon developed that let the programmer specify instruction in a text format (e.g., ADD X, TOTAL), with abbreviations for each operation code and meaningful names for specifying addresses.</w:t>
        <w:br/>
        <w:t>Use of a static code analysis tool can help detect some possible problems.</w:t>
        <w:br/>
        <w:t>One approach popular for requirements analysis is Use Case analysis.</w:t>
        <w:br/>
        <w:t>A study found that a few simple readability transformations made code shorter and drastically reduced the time to understand it.</w:t>
        <w:br/>
        <w:t>To produce machine code, the source code must either be compiled or transpiled.</w:t>
        <w:br/>
        <w:t xml:space="preserve"> Readability is important because programmers spend the majority of their time reading, trying to understand, reusing and modifying existing source code, rather than writing new source code.</w:t>
        <w:br/>
        <w:t>Some text editors such as Emacs allow GDB to be invoked through them, to provide a visual environment.</w:t>
        <w:br/>
        <w:t>Expert programmers are familiar with a variety of well-established algorithms and their respective complexities and use this knowledge to choose algorithms that are best suited to the circumstances.</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