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Use of a static code analysis tool can help detect some possible problems.</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Many applications use a mix of several languages in their construction and use.</w:t>
        <w:br/>
        <w:t>Compiling takes the source code from a low-level programming language and converts it into machine code.</w:t>
        <w:br/>
        <w:t>There exist a lot of different approaches for each of those tasks.</w:t>
        <w:br/>
        <w:t>Provided the functions in a library follow the appropriate run-time conventions (e.g., method of passing arguments), then these functions may be written in any other language.</w:t>
        <w:br/>
        <w:t xml:space="preserve"> Allen Downey, in his book How To Think Like A Computer Scientist, writes:</w:t>
        <w:br/>
        <w:t xml:space="preserve"> Many computer languages provide a mechanism to call functions provided by shared libraries.</w:t>
        <w:br/>
        <w:t>By the late 1960s, data storage devices and computer terminals became inexpensive enough that programs could be created by typing directly into the computers.</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