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One approach popular for requirements analysis is Use Case analysis.</w:t>
        <w:br/>
        <w:t>Proficient programming thus usually requires expertise in several different subjects, including knowledge of the application domain, specialized algorithms, and formal logic.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choice of language used is subject to many considerations, such as company policy, suitability to task, availability of third-party packages, or individual preference.</w:t>
        <w:br/>
        <w:t>The Unified Modeling Language (UML) is a notation used for both the OOAD and MDA.</w:t>
        <w:br/>
        <w:t>Scripting and breakpointing is also part of this process.</w:t>
        <w:br/>
        <w:t>For example, COBOL is still strong in corporate data centers often on large mainframe computers, Fortran in engineering applications, scripting languages in Web development, and C in embedded software.</w:t>
        <w:br/>
        <w:t>By the late 1960s, data storage devices and computer terminals became inexpensive enough that programs could be created by typing directly into the computers.</w:t>
        <w:br/>
        <w:t>Programming languages are essential for software development.</w:t>
        <w:br/>
        <w:t xml:space="preserve"> Programs were mostly entered using punched cards or paper tape.</w:t>
        <w:br/>
        <w:t>The Unified Modeling Language (UML) is a notation used for both the OOAD and MDA.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Use of a static code analysis tool can help detect some possible problems.</w:t>
        <w:br/>
        <w:t>Trial-and-error/divide-and-conquer is needed: the programmer will try to remove some parts of the original test case and check if the problem still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