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specific user environment and usage history can make it difficult to reproduce the problem.</w:t>
        <w:br/>
        <w:t>The choice of language used is subject to many considerations, such as company policy, suitability to task, availability of third-party packages, or individual preference.</w:t>
        <w:br/>
        <w:t>They are the building blocks for all software, from the simplest applications to the most sophisticated ones.</w:t>
        <w:br/>
        <w:t>Trial-and-error/divide-and-conquer is needed: the programmer will try to remove some parts of the original test case and check if the problem still exists.</w:t>
        <w:br/>
        <w:t>In 1206, the Arab engineer Al-Jazari invented a programmable drum machine where a musical mechanical automaton could be made to play different rhythms and drum patterns, via pegs and cams.</w:t>
        <w:br/>
        <w:t>In 1206, the Arab engineer Al-Jazari invented a programmable drum machine where a musical mechanical automaton could be made to play different rhythms and drum patterns, via pegs and cams.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Normally the first step in debugging is to attempt to reproduce the problem.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When debugging the problem in a GUI, the programmer can try to skip some user interaction from the original problem description and check if remaining actions are sufficient for bugs to appear.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There are many approaches to the Software development process.</w:t>
        <w:br/>
        <w:t>Techniques like Code refactoring can enhance readability.</w:t>
        <w:br/>
        <w:t>The Unified Modeling Language (UML) is a notation used for both the OOAD and MDA.</w:t>
        <w:br/>
        <w:t xml:space="preserve"> Implementation techniques include imperative languages (object-oriented or procedural), functional languages, and logic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