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 xml:space="preserve"> Different programming languages support different styles of programming (called programming paradigms).</w:t>
        <w:br/>
        <w:t>Unreadable code often leads to bugs, inefficiencies, and duplicated code.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Programs were mostly entered using punched cards or paper tape.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