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He gave the first description of cryptanalysis by frequency analysis, the earliest code-breaking algorithm.</w:t>
        <w:br/>
        <w:t>One approach popular for requirements analysis is Use Case analysis.</w:t>
        <w:br/>
        <w:t>Integrated development environments (IDEs) aim to integrate all such help.</w:t>
        <w:br/>
        <w:t>They are the building blocks for all software, from the simplest applications to the most sophisticated ones.</w:t>
        <w:br/>
        <w:t>This is interpreted into machine code.</w:t>
        <w:br/>
        <w:t>Techniques like Code refactoring can enhance readability.</w:t>
        <w:br/>
        <w:t>Provided the functions in a library follow the appropriate run-time conventions (e.g., method of passing arguments), then these functions may be written in any other language.</w:t>
        <w:br/>
        <w:t>However, with the concept of the stored-program computer introduced in 1949, both programs and data were stored and manipulated in the same way in computer memory.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In 1206, the Arab engineer Al-Jazari invented a programmable drum machine where a musical mechanical automaton could be made to play different rhythms and drum patterns, via pegs and cams.</w:t>
        <w:br/>
        <w:t>In the 9th century, the Arab mathematician Al-Kindi described a cryptographic algorithm for deciphering encrypted code, in A Manuscript on Deciphering Cryptographic Messages.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