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Techniques like Code refactoring can enhance readability.</w:t>
        <w:br/>
        <w:t>However, with the concept of the stored-program computer introduced in 1949, both programs and data were stored and manipulated in the same way in computer memory.</w:t>
        <w:br/>
        <w:t>To produce machine code, the source code must either be compiled or transpiled.</w:t>
        <w:br/>
        <w:t>The source code of a program is written in one or more languages that are intelligible to programmers, rather than machine code, which is directly executed by the central processing unit.</w:t>
        <w:br/>
        <w:t>Proficient programming thus usually requires expertise in several different subjects, including knowledge of the application domain, specialized algorithms, and formal logic.</w:t>
        <w:br/>
        <w:t>There exist a lot of different approaches for each of those tasks.</w:t>
        <w:br/>
        <w:t>The choice of language used is subject to many considerations, such as company policy, suitability to task, availability of third-party packages, or individual preference.</w:t>
        <w:br/>
        <w:t>The Unified Modeling Language (UML) is a notation used for both the OOAD and MDA.</w:t>
        <w:br/>
        <w:t>This is interpreted into machine code.</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Also, specific user environment and usage history can make it difficult to reproduce the problem.</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