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The following properties are among the most important:</w:t>
        <w:br/>
        <w:br/>
        <w:t xml:space="preserve"> In computer programming, readability refers to the ease with which a human reader can comprehend the purpose, control flow, and operation of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To produce machine code, the source code must either be compiled or transpiled.</w:t>
        <w:br/>
        <w:t>Some text editors such as Emacs allow GDB to be invoked through them, to provide a visual environment.</w:t>
        <w:br/>
        <w:t>Compilers harnessed the power of computers to make programming easier by allowing programmers to specify calculations by entering a formula using infix notation.</w:t>
        <w:br/>
        <w:t>Provided the functions in a library follow the appropriate run-time conventions (e.g., method of passing arguments), then these functions may be written in any other language.</w:t>
        <w:br/>
        <w:t>Compilers harnessed the power of computers to make programming easier by allowing programmers to specify calculations by entering a formula using infix notation.</w:t>
        <w:br/>
        <w:t>This can be a non-trivial task, for example as with parallel processes or some unusual software bugs.</w:t>
        <w:br/>
        <w:t>Unreadable code often leads to bugs, inefficiencies, and duplicated code.</w:t>
        <w:br/>
        <w:t>Normally the first step in debugging is to attempt to reproduce the problem.</w:t>
        <w:br/>
        <w:t xml:space="preserve"> Different programming languages support different styles of programming (called programming paradigms).</w:t>
        <w:br/>
        <w:t>To produce machine code, the source code must either be compiled or transpiled.</w:t>
        <w:br/>
        <w:t>There exist a lot of different approaches for each of those tasks.</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