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Integrated development environments (IDEs) aim to integrate all such help.</w:t>
        <w:br/>
        <w:t>However, readability is more than just programming style.</w:t>
        <w:br/>
        <w:t>However, Charles Babbage had already written his first program for the Analytical Engine in 1837.</w:t>
        <w:br/>
        <w:t>It is usually easier to code in "high-level" languages than in "low-level" ones.</w:t>
        <w:br/>
        <w:t>Unreadable code often leads to bugs, inefficiencies, and duplicated code.</w:t>
        <w:br/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