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The source code of a program is written in one or more languages that are intelligible to programmers, rather than machine code, which is directly executed by the central processing unit.</w:t>
        <w:br/>
        <w:t>However, with the concept of the stored-program computer introduced in 1949, both programs and data were stored and manipulated in the same way in computer memory.</w:t>
        <w:br/>
        <w:t>To produce machine code, the source code must either be compiled or transpiled.</w:t>
        <w:br/>
        <w:t>It affects the aspects of quality above, including portability, usability and most importantly maintainability.</w:t>
        <w:br/>
        <w:t>Many factors, having little or nothing to do with the ability of the computer to efficiently compile and execute the code, contribute to readability.</w:t>
        <w:br/>
        <w:t>Transpiling on the other hand, takes the source-code from a high-level programming language and converts it into bytecode.</w:t>
        <w:br/>
        <w:t>Many programmers use forms of Agile software development where the various stages of formal software development are more integrated together into short cycles that take a few weeks rather than years.</w:t>
        <w:br/>
        <w:t>He gave the first description of cryptanalysis by frequency analysis, the earliest code-breaking algorithm.</w:t>
        <w:br/>
        <w:t>However, readability is more than just programming style.</w:t>
        <w:br/>
        <w:t>To produce machine code, the source code must either be compiled or transpiled.</w:t>
        <w:br/>
        <w:t>Normally the first step in debugging is to attempt to reproduce the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Charles Babbage had already written his first program for the Analytical Engine in 1837.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