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For example, COBOL is still strong in corporate data centers often on large mainframe computers, Fortran in engineering applications, scripting languages in Web development, and C in embedded software.</w:t>
        <w:br/>
        <w:t>The following properties are among the most important:</w:t>
        <w:br/>
        <w:br/>
        <w:t xml:space="preserve"> In computer programming, readability refers to the ease with which a human reader can comprehend the purpose, control flow, and operation of source code.</w:t>
        <w:br/>
        <w:t>Integrated development environments (IDEs) aim to integrate all such help.</w:t>
        <w:br/>
        <w:t>However, Charles Babbage had already written his first program for the Analytical Engine in 1837.</w:t>
        <w:br/>
        <w:t>For this purpose, algorithms are classified into orders using so-called Big O notation, which expresses resource use, such as execution time or memory consumption, in terms of the size of an input.</w:t>
        <w:b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br/>
        <w:t>Many applications use a mix of several languages in their construction and use.</w:t>
        <w:br/>
        <w:t>The purpose of programming is to find a sequence of instructions that will automate the performance of a task (which can be as complex as an operating system) on a computer, often for solving a given problem.</w:t>
        <w:br/>
        <w:t>However, readability is more than just programming style.</w:t>
        <w:br/>
        <w:t xml:space="preserve"> Code-breaking algorithms have also existed for centuries.</w:t>
        <w:br/>
        <w:t>To produce machine code, the source code must either be compiled or transpiled.</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