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Some text editors such as Emacs allow GDB to be invoked through them, to provide a visual environment.</w:t>
        <w:br/>
        <w:t>By the late 1960s, data storage devices and computer terminals became inexpensive enough that programs could be created by typing directly into the computers.</w:t>
        <w:br/>
        <w:t>Some text editors such as Emacs allow GDB to be invoked through them, to provide a visual environment.</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because an assembly language is little more than a different notation for a machine language,  two machines with different instruction sets also have different assembly languages.</w:t>
        <w:br/>
        <w:t>In the 9th century, the Arab mathematician Al-Kindi described a cryptographic algorithm for deciphering encrypted code, in A Manuscript on Deciphering Cryptographic Messages.</w:t>
        <w:br/>
        <w:t>Assembly languages were soon developed that let the programmer specify instruction in a text format (e.g., ADD X, TOTAL), with abbreviations for each operation code and meaningful names for specifying addresses.</w:t>
        <w:br/>
        <w:t xml:space="preserve"> After the bug is reproduced, the input of the program may need to be simplified to make it easier to debug.</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