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Trial-and-error/divide-and-conquer is needed: the programmer will try to remove some parts of the original test case and check if the problem still exists.</w:t>
        <w:br/>
        <w:t>Languages form an approximate spectrum from "low-level" to "high-level"; "low-level" languages are typically more machine-oriented and faster to execute, whereas "high-level" languages are more abstract and easier to use but execute less quickly.</w:t>
        <w:br/>
        <w:t>The Unified Modeling Language (UML) is a notation used for both the OOAD and MDA.</w:t>
        <w:br/>
        <w:t>Many factors, having little or nothing to do with the ability of the computer to efficiently compile and execute the code, contribute to readability.</w:t>
        <w:br/>
        <w:t>Integrated development environments (IDEs) aim to integrate all such help.</w:t>
        <w:br/>
        <w:t>Techniques like Code refactoring can enhance readability.</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 xml:space="preserve"> Popular modeling techniques include Object-Oriented Analysis and Design (OOAD) and Model-Driven Architecture (MDA).</w:t>
        <w:br/>
        <w:t>Relatedly, software engineering combines engineering techniques and principles with software development.</w:t>
        <w:br/>
        <w:t>However, because an assembly language is little more than a different notation for a machine language,  two machines with different instruction sets also have different assembly languages.</w:t>
        <w:br/>
        <w:t xml:space="preserve"> High-level languages made the process of developing a program simpler and more understandable, and less bound to the underlying hardware.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