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In 1801, the Jacquard loom could produce entirely different weaves by changing the "program" – a series of pasteboard cards with holes punched in them.</w:t>
        <w:br/>
        <w:t>In 1801, the Jacquard loom could produce entirely different weaves by changing the "program" – a series of pasteboard cards with holes punched in them.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  <w:br/>
        <w:t>As early as the 9th century, a programmable music sequencer was invented by the Persian Banu Musa brothers, who described an automated mechanical flute player in the Book of Ingenious Devices.</w:t>
        <w:br/>
        <w:t>The choice of language used is subject to many considerations, such as company policy, suitability to task, availability of third-party packages, or individual preference.</w:t>
        <w:br/>
        <w:t>It affects the aspects of quality above, including portability, usability and most importantly maintainability.</w:t>
        <w:br/>
        <w:t>Techniques like Code refactoring can enhance readability.</w:t>
        <w:br/>
        <w:t>This is interpreted into machine code.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>However, Charles Babbage had already written his first program for the Analytical Engine in 1837.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