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It affects the aspects of quality above, including portability, usability and most importantly maintainability.</w:t>
        <w:br/>
        <w:t>For example, COBOL is still strong in corporate data centers often on large mainframe computers, Fortran in engineering applications, scripting languages in Web development, and C in embedded software.</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Trade-offs from this ideal involve finding enough programmers who know the language to build a team, the availability of compilers for that language, and the efficiency with which programs written in a given language execute.</w:t>
        <w:br/>
        <w:t>The Unified Modeling Language (UML) is a notation used for both the OOAD and MDA.</w:t>
        <w:br/>
        <w:t>Assembly languages were soon developed that let the programmer specify instruction in a text format (e.g., ADD X, TOTAL), with abbreviations for each operation code and meaningful names for specifying addresses.</w:t>
        <w:br/>
        <w:t xml:space="preserve"> Implementation techniques include imperative languages (object-oriented or procedural), functional languages, and logic languages.</w:t>
        <w:br/>
        <w:t>However, readability is more than just programming style.</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academic field and the engineering practice of computer programming are both largely concerned with discovering and implementing the most efficient algorithms for a given class of problems.</w:t>
        <w:br/>
        <w:t>By the late 1960s, data storage devices and computer terminals became inexpensive enough that programs could be created by typing directly into the computers.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