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  <w:br/>
        <w:t>However, because an assembly language is little more than a different notation for a machine language,  two machines with different instruction sets also have different assembly languages.</w:t>
        <w:br/>
        <w:t>Compilers harnessed the power of computers to make programming easier by allowing programmers to specify calculations by entering a formula using infix notation.</w:t>
        <w:br/>
        <w:t>It is usually easier to code in "high-level" languages than in "low-level"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By the late 1960s, data storage devices and computer terminals became inexpensive enough that programs could be created by typing directly into the computers.</w:t>
        <w:br/>
        <w:t>By the late 1960s, data storage devices and computer terminals became inexpensive enough that programs could be created by typing directly into the computers.</w:t>
        <w:br/>
        <w:t>In the 9th century, the Arab mathematician Al-Kindi described a cryptographic algorithm for deciphering encrypted code, in A Manuscript on Deciphering Cryptographic Messages.</w:t>
        <w:br/>
        <w:t xml:space="preserve"> Programmable devices have existed for centuries.</w:t>
        <w:br/>
        <w:t>Use of a static code analysis tool can help detect some possible problems.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