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interpreted into machine code.</w:t>
        <w:br/>
        <w:t>This is interpreted into machine 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Compilers harnessed the power of computers to make programming easier by allowing programmers to specify calculations by entering a formula using infix notation.</w:t>
        <w:br/>
        <w:t>However, because an assembly language is little more than a different notation for a machine language,  two machines with different instruction sets also have different assembly languages.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Ideally, the programming language best suited for the task at hand will be selected.</w:t>
        <w:br/>
        <w:t>Trial-and-error/divide-and-conquer is needed: the programmer will try to remove some parts of the original test case and check if the problem still exists.</w:t>
        <w:br/>
        <w:t>He gave the first description of cryptanalysis by frequency analysis, the earliest code-breaking algorithm.</w:t>
        <w:br/>
        <w:t>However, Charles Babbage had already written his first program for the Analytical Engine in 1837.</w:t>
        <w:br/>
        <w:t>This is interpreted into machine code.</w:t>
        <w:br/>
        <w:t>When debugging the problem in a GUI, the programmer can try to skip some user interaction from the original problem description and check if remaining actions are sufficient for bugs to appear.</w:t>
        <w:br/>
        <w:t>Many programmers use forms of Agile software development where the various stages of formal software development are more integrated together into short cycles that take a few weeks rather than years.</w:t>
        <w:br/>
        <w:t xml:space="preserve"> Computer programmers are those who write computer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