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Transpiling on the other hand, takes the source-code from a high-level programming language and converts it into bytecode.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>Expert programmers are familiar with a variety of well-established algorithms and their respective complexities and use this knowledge to choose algorithms that are best suited to the circumstances.</w:t>
        <w:br/>
        <w:t>The choice of language used is subject to many considerations, such as company policy, suitability to task, availability of third-party packages, or individual preference.</w:t>
        <w:br/>
        <w:t>There exist a lot of different approaches for each of those tasks.</w:t>
        <w:br/>
        <w:t>Some text editors such as Emacs allow GDB to be invoked through them, to provide a visual environment.</w:t>
        <w:br/>
        <w:t>It is usually easier to code in "high-level" languages than in "low-level" ones.</w:t>
        <w:br/>
        <w:t xml:space="preserve"> Various visual programming languages have also been developed with the intent to resolve readability concerns by adopting non-traditional approaches to code structure and display.</w:t>
        <w:br/>
        <w:t xml:space="preserve"> Code-breaking algorithms have also existed for centuries.</w:t>
        <w:br/>
        <w:t>Compiling takes the source code from a low-level programming language and converts it into machine code.</w:t>
        <w:br/>
        <w:t xml:space="preserve"> Following a consistent programming style often helps readability.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In 1206, the Arab engineer Al-Jazari invented a programmable drum machine where a musical mechanical automaton could be made to play different rhythms and drum patterns, via pegs and cams.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