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study found that a few simple readability transformations made code shorter and drastically reduced the time to understand it.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There exist a lot of different approaches for each of those tasks.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However, with the concept of the stored-program computer introduced in 1949, both programs and data were stored and manipulated in the same way in computer memory.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However, readability is more than just programming style.</w:t>
        <w:br/>
        <w:t xml:space="preserve"> Implementation techniques include imperative languages (object-oriented or procedural), functional languages, and logic languages.</w:t>
        <w:br/>
        <w:t xml:space="preserve"> After the bug is reproduced, the input of the program may need to be simplified to make it easier to debug.</w:t>
        <w:br/>
        <w:t>Many factors, having little or nothing to do with the ability of the computer to efficiently compile and execute the code, contribute to readability.</w:t>
        <w:br/>
        <w:t>However, because an assembly language is little more than a different notation for a machine language,  two machines with different instruction sets also have different assembly languages.</w:t>
        <w:br/>
        <w:t>Techniques like Code refactoring can enhance readability.</w:t>
        <w:br/>
        <w:t>For this purpose, algorithms are classified into orders using so-called Big O notation, which expresses resource use, such as execution time or memory consumption, in terms of the size of an input.</w:t>
        <w:br/>
        <w:t>Assembly languages were soon developed that let the programmer specify instruction in a text format (e.g., ADD X, TOTAL), with abbreviations for each operation code and meaningful names for specifying addresses.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